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и педагогической мысли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«История образования и педагогической мысли».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«История образования и педагогической мысли»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 содержательная)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Антропология архаичных обществ</w:t>
            </w:r>
          </w:p>
          <w:p>
            <w:pPr>
              <w:jc w:val="center"/>
              <w:spacing w:after="0" w:line="240" w:lineRule="auto"/>
              <w:rPr>
                <w:sz w:val="22"/>
                <w:szCs w:val="22"/>
              </w:rPr>
            </w:pPr>
            <w:r>
              <w:rPr>
                <w:rFonts w:ascii="Times New Roman" w:hAnsi="Times New Roman" w:cs="Times New Roman"/>
                <w:color w:val="#000000"/>
                <w:sz w:val="22"/>
                <w:szCs w:val="22"/>
              </w:rPr>
              <w:t> Археология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История первобытного общества и</w:t>
            </w:r>
          </w:p>
          <w:p>
            <w:pPr>
              <w:jc w:val="center"/>
              <w:spacing w:after="0" w:line="240" w:lineRule="auto"/>
              <w:rPr>
                <w:sz w:val="22"/>
                <w:szCs w:val="22"/>
              </w:rPr>
            </w:pPr>
            <w:r>
              <w:rPr>
                <w:rFonts w:ascii="Times New Roman" w:hAnsi="Times New Roman" w:cs="Times New Roman"/>
                <w:color w:val="#000000"/>
                <w:sz w:val="22"/>
                <w:szCs w:val="22"/>
              </w:rPr>
              <w:t> Древнего Востока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Современные основы обучения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503.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системы и общественно-педагогическое</w:t>
            </w:r>
          </w:p>
          <w:p>
            <w:pPr>
              <w:jc w:val="center"/>
              <w:spacing w:after="0" w:line="240" w:lineRule="auto"/>
              <w:rPr>
                <w:sz w:val="24"/>
                <w:szCs w:val="24"/>
              </w:rPr>
            </w:pPr>
            <w:r>
              <w:rPr>
                <w:rFonts w:ascii="Times New Roman" w:hAnsi="Times New Roman" w:cs="Times New Roman"/>
                <w:b/>
                <w:color w:val="#000000"/>
                <w:sz w:val="24"/>
                <w:szCs w:val="24"/>
              </w:rPr>
              <w:t> движение в России XIX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педагогическая</w:t>
            </w:r>
          </w:p>
          <w:p>
            <w:pPr>
              <w:jc w:val="center"/>
              <w:spacing w:after="0" w:line="240" w:lineRule="auto"/>
              <w:rPr>
                <w:sz w:val="24"/>
                <w:szCs w:val="24"/>
              </w:rPr>
            </w:pPr>
            <w:r>
              <w:rPr>
                <w:rFonts w:ascii="Times New Roman" w:hAnsi="Times New Roman" w:cs="Times New Roman"/>
                <w:b/>
                <w:color w:val="#000000"/>
                <w:sz w:val="24"/>
                <w:szCs w:val="24"/>
              </w:rPr>
              <w:t> мысль в России в конце XX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77.1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(ППСиИО)(24)_plx_История образования и педагогической мысли</dc:title>
  <dc:creator>FastReport.NET</dc:creator>
</cp:coreProperties>
</file>